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6B68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bookmarkStart w:id="0" w:name="_GoBack"/>
      <w:bookmarkEnd w:id="0"/>
      <w:r>
        <w:rPr>
          <w:rStyle w:val="s10"/>
          <w:b/>
          <w:bCs/>
          <w:color w:val="22272F"/>
          <w:sz w:val="33"/>
          <w:szCs w:val="33"/>
        </w:rPr>
        <w:t>О разработке документации по планировке территории в отношении территории ведения садоводства и огородничества</w:t>
      </w:r>
    </w:p>
    <w:p w14:paraId="4DDB4EC5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Согласно </w:t>
      </w:r>
      <w:hyperlink r:id="rId6" w:anchor="/document/12138258/entry/4101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части 1 статьи 41</w:t>
        </w:r>
      </w:hyperlink>
      <w:r>
        <w:rPr>
          <w:color w:val="22272F"/>
          <w:sz w:val="33"/>
          <w:szCs w:val="33"/>
        </w:rPr>
        <w:t> Градостроительного кодекса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7169BB2C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Кроме того, территорией садоводства или огородничества признается территория, границы которой определяются в соответствии с утвержденной в отношении этой территории документацией по планировке территории.</w:t>
      </w:r>
    </w:p>
    <w:p w14:paraId="003E7E80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В связи с этим </w:t>
      </w:r>
      <w:hyperlink r:id="rId7" w:anchor="/document/71732780/entry/2304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частью 4 статьи 23</w:t>
        </w:r>
      </w:hyperlink>
      <w:r>
        <w:rPr>
          <w:color w:val="22272F"/>
          <w:sz w:val="33"/>
          <w:szCs w:val="33"/>
        </w:rPr>
        <w:t> Закона N 217-ФЗ в целях обеспечения устойчивого развития территории садоводства или огородничества,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Следует отметить, что аналогичная норма также была предусмотрена в </w:t>
      </w:r>
      <w:hyperlink r:id="rId8" w:anchor="/document/12111288/entry/32" w:history="1">
        <w:r>
          <w:rPr>
            <w:rStyle w:val="ae"/>
            <w:rFonts w:eastAsiaTheme="majorEastAsia"/>
            <w:color w:val="551A8B"/>
            <w:sz w:val="33"/>
            <w:szCs w:val="33"/>
          </w:rPr>
          <w:t>статье 32</w:t>
        </w:r>
      </w:hyperlink>
      <w:r>
        <w:rPr>
          <w:color w:val="22272F"/>
          <w:sz w:val="33"/>
          <w:szCs w:val="33"/>
        </w:rPr>
        <w:t> Закона N 66-ФЗ.</w:t>
      </w:r>
    </w:p>
    <w:p w14:paraId="78879D2F" w14:textId="77777777" w:rsidR="00CE5E5C" w:rsidRDefault="00AA3EBA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hyperlink r:id="rId9" w:anchor="/document/71732780/entry/0" w:history="1">
        <w:r w:rsidR="00CE5E5C">
          <w:rPr>
            <w:rStyle w:val="ae"/>
            <w:rFonts w:eastAsiaTheme="majorEastAsia"/>
            <w:color w:val="551A8B"/>
            <w:sz w:val="33"/>
            <w:szCs w:val="33"/>
          </w:rPr>
          <w:t>Закон</w:t>
        </w:r>
      </w:hyperlink>
      <w:r w:rsidR="00CE5E5C">
        <w:rPr>
          <w:color w:val="22272F"/>
          <w:sz w:val="33"/>
          <w:szCs w:val="33"/>
        </w:rPr>
        <w:t> N 217-ФЗ, а также иные документы, на основании которых осуществлялось распределение земельных участков в границах таких территорий, являются действительными.</w:t>
      </w:r>
    </w:p>
    <w:p w14:paraId="05A6061F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 xml:space="preserve">Учитывая </w:t>
      </w:r>
      <w:proofErr w:type="gramStart"/>
      <w:r>
        <w:rPr>
          <w:color w:val="22272F"/>
          <w:sz w:val="33"/>
          <w:szCs w:val="33"/>
        </w:rPr>
        <w:t>изложенное</w:t>
      </w:r>
      <w:proofErr w:type="gramEnd"/>
      <w:r>
        <w:rPr>
          <w:color w:val="22272F"/>
          <w:sz w:val="33"/>
          <w:szCs w:val="33"/>
        </w:rPr>
        <w:t>, </w:t>
      </w:r>
      <w:hyperlink r:id="rId10" w:anchor="/document/71732780/entry/0" w:history="1">
        <w:r>
          <w:rPr>
            <w:rStyle w:val="ae"/>
            <w:rFonts w:eastAsiaTheme="majorEastAsia"/>
            <w:color w:val="551A8B"/>
            <w:sz w:val="33"/>
            <w:szCs w:val="33"/>
          </w:rPr>
          <w:t>Закон</w:t>
        </w:r>
      </w:hyperlink>
      <w:r>
        <w:rPr>
          <w:color w:val="22272F"/>
          <w:sz w:val="33"/>
          <w:szCs w:val="33"/>
        </w:rPr>
        <w:t xml:space="preserve"> N 217-ФЗ не только не ввел избыточного регулирования, но и </w:t>
      </w:r>
      <w:r w:rsidRPr="00AA3EBA">
        <w:rPr>
          <w:color w:val="FF0000"/>
          <w:sz w:val="33"/>
          <w:szCs w:val="33"/>
        </w:rPr>
        <w:t xml:space="preserve">решил вопрос об определении границ территорий </w:t>
      </w:r>
      <w:r>
        <w:rPr>
          <w:color w:val="22272F"/>
          <w:sz w:val="33"/>
          <w:szCs w:val="33"/>
        </w:rPr>
        <w:t xml:space="preserve">ведения гражданами садоводства и огородничества, </w:t>
      </w:r>
      <w:r w:rsidRPr="00AA3EBA">
        <w:rPr>
          <w:color w:val="FF0000"/>
          <w:sz w:val="33"/>
          <w:szCs w:val="33"/>
        </w:rPr>
        <w:t>созданных ранее</w:t>
      </w:r>
      <w:r>
        <w:rPr>
          <w:color w:val="22272F"/>
          <w:sz w:val="33"/>
          <w:szCs w:val="33"/>
        </w:rPr>
        <w:t xml:space="preserve">, в том числе с учетом </w:t>
      </w:r>
      <w:r w:rsidRPr="00AA3EBA">
        <w:rPr>
          <w:sz w:val="33"/>
          <w:szCs w:val="33"/>
        </w:rPr>
        <w:t xml:space="preserve">ранее установленных </w:t>
      </w:r>
      <w:r w:rsidRPr="00AA3EBA">
        <w:rPr>
          <w:color w:val="FF0000"/>
          <w:sz w:val="33"/>
          <w:szCs w:val="33"/>
        </w:rPr>
        <w:t xml:space="preserve">границ земельного участка, предоставленного такой организации для ведения садоводства </w:t>
      </w:r>
      <w:r>
        <w:rPr>
          <w:color w:val="22272F"/>
          <w:sz w:val="33"/>
          <w:szCs w:val="33"/>
        </w:rPr>
        <w:t>и огородничества.</w:t>
      </w:r>
    </w:p>
    <w:p w14:paraId="4D45804B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Кроме того, согласно действующей редакции </w:t>
      </w:r>
      <w:hyperlink r:id="rId11" w:anchor="/document/12124624/entry/11113" w:history="1">
        <w:r>
          <w:rPr>
            <w:rStyle w:val="ae"/>
            <w:rFonts w:eastAsiaTheme="majorEastAsia"/>
            <w:color w:val="551A8B"/>
            <w:sz w:val="33"/>
            <w:szCs w:val="33"/>
          </w:rPr>
          <w:t>статьи 11.3</w:t>
        </w:r>
      </w:hyperlink>
      <w:r>
        <w:rPr>
          <w:color w:val="22272F"/>
          <w:sz w:val="33"/>
          <w:szCs w:val="33"/>
        </w:rPr>
        <w:t xml:space="preserve"> Земельного кодекса образование земельных участков из земельного участка, </w:t>
      </w:r>
      <w:r>
        <w:rPr>
          <w:color w:val="22272F"/>
          <w:sz w:val="33"/>
          <w:szCs w:val="33"/>
        </w:rPr>
        <w:lastRenderedPageBreak/>
        <w:t>предоставленного некоммерческой организации, созданной гражданами для ведения садоводства, огородничества, дачного хозяйства осуществляется исключительно в соответствии с утвержденным проектом межевания территории.</w:t>
      </w:r>
    </w:p>
    <w:p w14:paraId="7E579D73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Также </w:t>
      </w:r>
      <w:hyperlink r:id="rId12" w:anchor="/document/12124624/entry/39104" w:history="1">
        <w:r>
          <w:rPr>
            <w:rStyle w:val="ae"/>
            <w:rFonts w:eastAsiaTheme="majorEastAsia"/>
            <w:color w:val="551A8B"/>
            <w:sz w:val="33"/>
            <w:szCs w:val="33"/>
          </w:rPr>
          <w:t>пунктом 4 статьи 39.10</w:t>
        </w:r>
      </w:hyperlink>
      <w:r>
        <w:rPr>
          <w:color w:val="22272F"/>
          <w:sz w:val="33"/>
          <w:szCs w:val="33"/>
        </w:rPr>
        <w:t> Земельного кодекса предусмотрена обязанность включать в договор безвозмездного пользования земельным участком, предоставленным некоммерческой организации для ведения садоводства, обязательство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14:paraId="02404DAD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Таким образом, </w:t>
      </w:r>
      <w:hyperlink r:id="rId13" w:anchor="/document/71732780/entry/0" w:history="1">
        <w:r>
          <w:rPr>
            <w:rStyle w:val="ae"/>
            <w:rFonts w:eastAsiaTheme="majorEastAsia"/>
            <w:color w:val="551A8B"/>
            <w:sz w:val="33"/>
            <w:szCs w:val="33"/>
          </w:rPr>
          <w:t>Законом</w:t>
        </w:r>
      </w:hyperlink>
      <w:r>
        <w:rPr>
          <w:color w:val="22272F"/>
          <w:sz w:val="33"/>
          <w:szCs w:val="33"/>
        </w:rPr>
        <w:t> N 217-ФЗ не вводится какого-либо нового правового регулирования в данном вопросе, а в целом сохраняется подход к установлению границ территории садоводства или огородничества и земельных участков, расположенных в ее границах, предусмотренный действующим законодательством.</w:t>
      </w:r>
    </w:p>
    <w:p w14:paraId="77F093ED" w14:textId="77777777" w:rsidR="00CE5E5C" w:rsidRPr="00AA3EBA" w:rsidRDefault="00CE5E5C" w:rsidP="00CE5E5C">
      <w:pPr>
        <w:pStyle w:val="s1"/>
        <w:shd w:val="clear" w:color="auto" w:fill="FFFFFF"/>
        <w:jc w:val="both"/>
        <w:rPr>
          <w:color w:val="FF0000"/>
          <w:sz w:val="33"/>
          <w:szCs w:val="33"/>
        </w:rPr>
      </w:pPr>
      <w:r w:rsidRPr="00AA3EBA">
        <w:rPr>
          <w:color w:val="FF0000"/>
          <w:sz w:val="33"/>
          <w:szCs w:val="33"/>
        </w:rPr>
        <w:t>При этом обращаем внимание, что </w:t>
      </w:r>
      <w:hyperlink r:id="rId14" w:anchor="/document/71732780/entry/0" w:history="1">
        <w:r w:rsidRPr="00AA3EBA">
          <w:rPr>
            <w:rStyle w:val="ae"/>
            <w:rFonts w:eastAsiaTheme="majorEastAsia"/>
            <w:color w:val="FF0000"/>
            <w:sz w:val="33"/>
            <w:szCs w:val="33"/>
          </w:rPr>
          <w:t>Закон</w:t>
        </w:r>
      </w:hyperlink>
      <w:r w:rsidRPr="00AA3EBA">
        <w:rPr>
          <w:color w:val="FF0000"/>
          <w:sz w:val="33"/>
          <w:szCs w:val="33"/>
        </w:rPr>
        <w:t> N 217-ФЗ не предусматривает обязанности для ранее созданных товариществ обеспечивать подготовку документации по планировке территории.</w:t>
      </w:r>
    </w:p>
    <w:p w14:paraId="6367E023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Для таких организаций Законом 217-ФЗ предусмотрены переходные положения (</w:t>
      </w:r>
      <w:hyperlink r:id="rId15" w:anchor="/document/71732780/entry/5428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часть 28 статьи 54</w:t>
        </w:r>
      </w:hyperlink>
      <w:r>
        <w:rPr>
          <w:color w:val="22272F"/>
          <w:sz w:val="33"/>
          <w:szCs w:val="33"/>
        </w:rPr>
        <w:t> Закона N 217-ФЗ), согласно которым в случае, если отсутствует утвержденная документация по планировке территории, определяющая границы территории садоводства или огородничества, границы такой территории определяются:</w:t>
      </w:r>
    </w:p>
    <w:p w14:paraId="230E84FE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1) в соответствии с проектом организации и застройки территории, утвержденным по ходатайству некоммерческой организации, указанной в </w:t>
      </w:r>
      <w:hyperlink r:id="rId16" w:anchor="/document/71732780/entry/5401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части 1 статьи 54</w:t>
        </w:r>
      </w:hyperlink>
      <w:r>
        <w:rPr>
          <w:color w:val="22272F"/>
          <w:sz w:val="33"/>
          <w:szCs w:val="33"/>
        </w:rPr>
        <w:t> Закона N 217-ФЗ, или иного документа, на основании которого осуществлено распределение садовых или огородных земельных участков между членами указанной организации;</w:t>
      </w:r>
    </w:p>
    <w:p w14:paraId="7F10DBC9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 xml:space="preserve">2) при отсутствии документов, указанных в пункте 1 настоящей части, в соответствии с границами земельного участка, предоставленного до </w:t>
      </w:r>
      <w:r>
        <w:rPr>
          <w:color w:val="22272F"/>
          <w:sz w:val="33"/>
          <w:szCs w:val="33"/>
        </w:rPr>
        <w:lastRenderedPageBreak/>
        <w:t>дня </w:t>
      </w:r>
      <w:hyperlink r:id="rId17" w:anchor="/document/12211288/entry/0" w:history="1">
        <w:r>
          <w:rPr>
            <w:rStyle w:val="ae"/>
            <w:rFonts w:eastAsiaTheme="majorEastAsia"/>
            <w:color w:val="551A8B"/>
            <w:sz w:val="33"/>
            <w:szCs w:val="33"/>
          </w:rPr>
          <w:t>вступления в силу</w:t>
        </w:r>
      </w:hyperlink>
      <w:r>
        <w:rPr>
          <w:color w:val="22272F"/>
          <w:sz w:val="33"/>
          <w:szCs w:val="33"/>
        </w:rPr>
        <w:t> Закона N 66-ФЗ некоммерческой организации, указанной в </w:t>
      </w:r>
      <w:hyperlink r:id="rId18" w:anchor="/document/71732780/entry/5401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части 1 статьи 54</w:t>
        </w:r>
      </w:hyperlink>
      <w:r>
        <w:rPr>
          <w:color w:val="22272F"/>
          <w:sz w:val="33"/>
          <w:szCs w:val="33"/>
        </w:rPr>
        <w:t> Закона N 217-ФЗ, или организации, при которой указанная организация была создана для ведения гражданами садоводства, огородничества или дачного хозяйства.</w:t>
      </w:r>
    </w:p>
    <w:p w14:paraId="44CCB437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 Кроме того, согласно </w:t>
      </w:r>
      <w:hyperlink r:id="rId19" w:anchor="/document/71732780/entry/5425" w:history="1">
        <w:r>
          <w:rPr>
            <w:rStyle w:val="ae"/>
            <w:rFonts w:eastAsiaTheme="majorEastAsia"/>
            <w:color w:val="551A8B"/>
            <w:sz w:val="33"/>
            <w:szCs w:val="33"/>
          </w:rPr>
          <w:t>части 25 статьи 54</w:t>
        </w:r>
      </w:hyperlink>
      <w:r>
        <w:rPr>
          <w:color w:val="22272F"/>
          <w:sz w:val="33"/>
          <w:szCs w:val="33"/>
        </w:rPr>
        <w:t> Закона N 217-ФЗ утвержденные до дня вступления в силу Закона N 217-ФЗ проекты организации и застройки территорий некоммерческих организаций, созданных до вступления в силу Закона N 217-ФЗ, а также иные документы, на основании которых осуществлялось распределение земельных участков в границах таких территорий, являются действительными.</w:t>
      </w:r>
    </w:p>
    <w:p w14:paraId="7C2A881B" w14:textId="77777777" w:rsidR="00CE5E5C" w:rsidRDefault="00CE5E5C" w:rsidP="00CE5E5C">
      <w:pPr>
        <w:pStyle w:val="s1"/>
        <w:shd w:val="clear" w:color="auto" w:fill="FFFFFF"/>
        <w:jc w:val="both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Учитывая изложенное, </w:t>
      </w:r>
      <w:hyperlink r:id="rId20" w:anchor="/document/71732780/entry/0" w:history="1">
        <w:r w:rsidRPr="00AA3EBA">
          <w:rPr>
            <w:rStyle w:val="ae"/>
            <w:rFonts w:eastAsiaTheme="majorEastAsia"/>
            <w:color w:val="FF0000"/>
            <w:sz w:val="33"/>
            <w:szCs w:val="33"/>
          </w:rPr>
          <w:t>Закон</w:t>
        </w:r>
      </w:hyperlink>
      <w:r w:rsidRPr="00AA3EBA">
        <w:rPr>
          <w:color w:val="FF0000"/>
          <w:sz w:val="33"/>
          <w:szCs w:val="33"/>
        </w:rPr>
        <w:t> N 217-ФЗ</w:t>
      </w:r>
      <w:r>
        <w:rPr>
          <w:color w:val="22272F"/>
          <w:sz w:val="33"/>
          <w:szCs w:val="33"/>
        </w:rPr>
        <w:t xml:space="preserve"> не только не ввел избыточного регулирования, но и </w:t>
      </w:r>
      <w:r w:rsidRPr="00AA3EBA">
        <w:rPr>
          <w:color w:val="FF0000"/>
          <w:sz w:val="33"/>
          <w:szCs w:val="33"/>
        </w:rPr>
        <w:t>решил вопрос об определении границ территорий ведения гражданами садоводства и огородничества, созданных ранее</w:t>
      </w:r>
      <w:r>
        <w:rPr>
          <w:color w:val="22272F"/>
          <w:sz w:val="33"/>
          <w:szCs w:val="33"/>
        </w:rPr>
        <w:t>, в том числе с учетом ранее установленных границ земельного участка, предоставленного такой организации для ведения садоводства и огородничества.</w:t>
      </w:r>
    </w:p>
    <w:p w14:paraId="06B463C1" w14:textId="77777777" w:rsidR="00CE5E5C" w:rsidRDefault="00CE5E5C" w:rsidP="00CE5E5C">
      <w:pPr>
        <w:pStyle w:val="s1"/>
        <w:shd w:val="clear" w:color="auto" w:fill="FFFFFF"/>
        <w:jc w:val="right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Федеральная служба государственной регистрации,</w:t>
      </w:r>
    </w:p>
    <w:p w14:paraId="5163A4F9" w14:textId="77777777" w:rsidR="00CE5E5C" w:rsidRDefault="00CE5E5C" w:rsidP="00CE5E5C">
      <w:pPr>
        <w:pStyle w:val="s1"/>
        <w:shd w:val="clear" w:color="auto" w:fill="FFFFFF"/>
        <w:jc w:val="right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кадастра и картографии</w:t>
      </w:r>
    </w:p>
    <w:p w14:paraId="76BCD7B2" w14:textId="77777777" w:rsidR="00CE5E5C" w:rsidRDefault="00CE5E5C" w:rsidP="00CE5E5C">
      <w:pPr>
        <w:pStyle w:val="s1"/>
        <w:shd w:val="clear" w:color="auto" w:fill="FFFFFF"/>
        <w:jc w:val="right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t>(Росреестр)</w:t>
      </w:r>
    </w:p>
    <w:p w14:paraId="2680DEB8" w14:textId="77777777" w:rsidR="00BC27E5" w:rsidRDefault="00BC27E5" w:rsidP="00C26AAF"/>
    <w:sectPr w:rsidR="00BC27E5" w:rsidSect="00CE5E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F40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173848"/>
    <w:multiLevelType w:val="hybridMultilevel"/>
    <w:tmpl w:val="034E382E"/>
    <w:lvl w:ilvl="0" w:tplc="C6B6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486E90"/>
    <w:multiLevelType w:val="hybridMultilevel"/>
    <w:tmpl w:val="C35E8FF0"/>
    <w:lvl w:ilvl="0" w:tplc="91CCB8B0">
      <w:start w:val="1"/>
      <w:numFmt w:val="decimal"/>
      <w:lvlText w:val="%1.2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D"/>
    <w:rsid w:val="0045486C"/>
    <w:rsid w:val="00AA3EBA"/>
    <w:rsid w:val="00BC27E5"/>
    <w:rsid w:val="00C04217"/>
    <w:rsid w:val="00C26AAF"/>
    <w:rsid w:val="00CE5E5C"/>
    <w:rsid w:val="00EC75AD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AAF"/>
    <w:pPr>
      <w:spacing w:after="240"/>
      <w:ind w:firstLine="708"/>
      <w:jc w:val="both"/>
    </w:pPr>
    <w:rPr>
      <w:rFonts w:ascii="Times New Roman" w:hAnsi="Times New Roman" w:cs="Courier New"/>
      <w:sz w:val="24"/>
      <w:szCs w:val="24"/>
    </w:rPr>
  </w:style>
  <w:style w:type="paragraph" w:styleId="1">
    <w:name w:val="heading 1"/>
    <w:basedOn w:val="a0"/>
    <w:next w:val="2"/>
    <w:link w:val="10"/>
    <w:unhideWhenUsed/>
    <w:qFormat/>
    <w:rsid w:val="00C26AAF"/>
    <w:pPr>
      <w:keepNext/>
      <w:keepLines/>
      <w:tabs>
        <w:tab w:val="num" w:pos="720"/>
        <w:tab w:val="left" w:pos="1134"/>
      </w:tabs>
      <w:spacing w:after="0"/>
      <w:ind w:left="720" w:firstLine="709"/>
      <w:outlineLvl w:val="0"/>
    </w:pPr>
    <w:rPr>
      <w:rFonts w:eastAsiaTheme="majorEastAsia" w:cs="Arial"/>
      <w:szCs w:val="20"/>
    </w:rPr>
  </w:style>
  <w:style w:type="paragraph" w:styleId="2">
    <w:name w:val="heading 2"/>
    <w:aliases w:val="Кому"/>
    <w:basedOn w:val="a0"/>
    <w:next w:val="a1"/>
    <w:link w:val="20"/>
    <w:qFormat/>
    <w:rsid w:val="00C26AAF"/>
    <w:pPr>
      <w:pBdr>
        <w:bottom w:val="single" w:sz="12" w:space="1" w:color="auto"/>
      </w:pBdr>
      <w:spacing w:after="0"/>
      <w:ind w:left="4111" w:firstLine="0"/>
      <w:jc w:val="left"/>
      <w:outlineLvl w:val="1"/>
    </w:pPr>
    <w:rPr>
      <w:rFonts w:cstheme="minorBidi"/>
      <w:noProof/>
      <w:szCs w:val="22"/>
    </w:rPr>
  </w:style>
  <w:style w:type="paragraph" w:styleId="3">
    <w:name w:val="heading 3"/>
    <w:aliases w:val="Нумерация"/>
    <w:basedOn w:val="a0"/>
    <w:link w:val="30"/>
    <w:uiPriority w:val="9"/>
    <w:semiHidden/>
    <w:unhideWhenUsed/>
    <w:qFormat/>
    <w:rsid w:val="00C26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6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6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AAF"/>
    <w:rPr>
      <w:rFonts w:ascii="Times New Roman" w:eastAsiaTheme="majorEastAsia" w:hAnsi="Times New Roman" w:cs="Arial"/>
      <w:sz w:val="24"/>
      <w:szCs w:val="20"/>
    </w:rPr>
  </w:style>
  <w:style w:type="paragraph" w:styleId="a5">
    <w:name w:val="No Spacing"/>
    <w:uiPriority w:val="1"/>
    <w:qFormat/>
    <w:rsid w:val="0045486C"/>
    <w:pPr>
      <w:spacing w:after="0" w:line="240" w:lineRule="auto"/>
      <w:ind w:firstLine="708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aliases w:val="Кому Знак"/>
    <w:basedOn w:val="a2"/>
    <w:link w:val="2"/>
    <w:rsid w:val="00C26AAF"/>
    <w:rPr>
      <w:rFonts w:ascii="Times New Roman" w:hAnsi="Times New Roman"/>
      <w:noProof/>
      <w:sz w:val="24"/>
    </w:rPr>
  </w:style>
  <w:style w:type="character" w:customStyle="1" w:styleId="30">
    <w:name w:val="Заголовок 3 Знак"/>
    <w:aliases w:val="Нумерация Знак"/>
    <w:basedOn w:val="a2"/>
    <w:link w:val="3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45486C"/>
    <w:pPr>
      <w:numPr>
        <w:numId w:val="1"/>
      </w:numPr>
      <w:contextualSpacing/>
    </w:pPr>
  </w:style>
  <w:style w:type="paragraph" w:customStyle="1" w:styleId="a1">
    <w:name w:val="Куда"/>
    <w:basedOn w:val="2"/>
    <w:link w:val="a6"/>
    <w:qFormat/>
    <w:rsid w:val="00C26AAF"/>
    <w:pPr>
      <w:pBdr>
        <w:bottom w:val="none" w:sz="0" w:space="0" w:color="auto"/>
      </w:pBdr>
      <w:spacing w:after="240"/>
      <w:outlineLvl w:val="9"/>
    </w:pPr>
  </w:style>
  <w:style w:type="character" w:customStyle="1" w:styleId="a6">
    <w:name w:val="Куда Знак"/>
    <w:basedOn w:val="20"/>
    <w:link w:val="a1"/>
    <w:rsid w:val="00C26AAF"/>
    <w:rPr>
      <w:rFonts w:ascii="Times New Roman" w:hAnsi="Times New Roman"/>
      <w:noProof/>
      <w:sz w:val="24"/>
    </w:rPr>
  </w:style>
  <w:style w:type="paragraph" w:customStyle="1" w:styleId="11">
    <w:name w:val="Название1"/>
    <w:basedOn w:val="a0"/>
    <w:link w:val="a7"/>
    <w:qFormat/>
    <w:rsid w:val="00C26AAF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7">
    <w:name w:val="Название Знак"/>
    <w:basedOn w:val="a2"/>
    <w:link w:val="11"/>
    <w:rsid w:val="00C26AAF"/>
    <w:rPr>
      <w:rFonts w:ascii="Times New Roman" w:hAnsi="Times New Roman"/>
      <w:b/>
      <w:caps/>
      <w:sz w:val="24"/>
    </w:rPr>
  </w:style>
  <w:style w:type="paragraph" w:customStyle="1" w:styleId="a8">
    <w:name w:val="!Подпись"/>
    <w:basedOn w:val="a0"/>
    <w:link w:val="a9"/>
    <w:qFormat/>
    <w:rsid w:val="00C26AAF"/>
    <w:pPr>
      <w:tabs>
        <w:tab w:val="right" w:pos="9355"/>
      </w:tabs>
      <w:spacing w:before="240" w:line="360" w:lineRule="auto"/>
      <w:ind w:firstLine="0"/>
    </w:pPr>
  </w:style>
  <w:style w:type="character" w:customStyle="1" w:styleId="a9">
    <w:name w:val="!Подпись Знак"/>
    <w:basedOn w:val="a2"/>
    <w:link w:val="a8"/>
    <w:rsid w:val="00C26AAF"/>
    <w:rPr>
      <w:rFonts w:ascii="Times New Roman" w:hAnsi="Times New Roman" w:cs="Courier New"/>
      <w:sz w:val="24"/>
      <w:szCs w:val="24"/>
    </w:rPr>
  </w:style>
  <w:style w:type="paragraph" w:customStyle="1" w:styleId="aa">
    <w:name w:val="Приложение"/>
    <w:basedOn w:val="ab"/>
    <w:link w:val="ac"/>
    <w:qFormat/>
    <w:rsid w:val="00C26AAF"/>
    <w:pPr>
      <w:ind w:left="1068" w:hanging="360"/>
    </w:pPr>
  </w:style>
  <w:style w:type="character" w:customStyle="1" w:styleId="ac">
    <w:name w:val="Приложение Знак"/>
    <w:basedOn w:val="a2"/>
    <w:link w:val="aa"/>
    <w:rsid w:val="00C26AAF"/>
    <w:rPr>
      <w:rFonts w:ascii="Times New Roman" w:hAnsi="Times New Roman" w:cs="Courier New"/>
      <w:sz w:val="24"/>
      <w:szCs w:val="24"/>
    </w:rPr>
  </w:style>
  <w:style w:type="paragraph" w:styleId="ab">
    <w:name w:val="List Paragraph"/>
    <w:basedOn w:val="a0"/>
    <w:uiPriority w:val="34"/>
    <w:rsid w:val="00C26AA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C26AA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6AA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C26AA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C26AAF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paragraph" w:customStyle="1" w:styleId="s1">
    <w:name w:val="s_1"/>
    <w:basedOn w:val="a0"/>
    <w:rsid w:val="00CE5E5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s10">
    <w:name w:val="s_10"/>
    <w:basedOn w:val="a2"/>
    <w:rsid w:val="00CE5E5C"/>
  </w:style>
  <w:style w:type="character" w:styleId="ae">
    <w:name w:val="Hyperlink"/>
    <w:basedOn w:val="a2"/>
    <w:uiPriority w:val="99"/>
    <w:semiHidden/>
    <w:unhideWhenUsed/>
    <w:rsid w:val="00CE5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AAF"/>
    <w:pPr>
      <w:spacing w:after="240"/>
      <w:ind w:firstLine="708"/>
      <w:jc w:val="both"/>
    </w:pPr>
    <w:rPr>
      <w:rFonts w:ascii="Times New Roman" w:hAnsi="Times New Roman" w:cs="Courier New"/>
      <w:sz w:val="24"/>
      <w:szCs w:val="24"/>
    </w:rPr>
  </w:style>
  <w:style w:type="paragraph" w:styleId="1">
    <w:name w:val="heading 1"/>
    <w:basedOn w:val="a0"/>
    <w:next w:val="2"/>
    <w:link w:val="10"/>
    <w:unhideWhenUsed/>
    <w:qFormat/>
    <w:rsid w:val="00C26AAF"/>
    <w:pPr>
      <w:keepNext/>
      <w:keepLines/>
      <w:tabs>
        <w:tab w:val="num" w:pos="720"/>
        <w:tab w:val="left" w:pos="1134"/>
      </w:tabs>
      <w:spacing w:after="0"/>
      <w:ind w:left="720" w:firstLine="709"/>
      <w:outlineLvl w:val="0"/>
    </w:pPr>
    <w:rPr>
      <w:rFonts w:eastAsiaTheme="majorEastAsia" w:cs="Arial"/>
      <w:szCs w:val="20"/>
    </w:rPr>
  </w:style>
  <w:style w:type="paragraph" w:styleId="2">
    <w:name w:val="heading 2"/>
    <w:aliases w:val="Кому"/>
    <w:basedOn w:val="a0"/>
    <w:next w:val="a1"/>
    <w:link w:val="20"/>
    <w:qFormat/>
    <w:rsid w:val="00C26AAF"/>
    <w:pPr>
      <w:pBdr>
        <w:bottom w:val="single" w:sz="12" w:space="1" w:color="auto"/>
      </w:pBdr>
      <w:spacing w:after="0"/>
      <w:ind w:left="4111" w:firstLine="0"/>
      <w:jc w:val="left"/>
      <w:outlineLvl w:val="1"/>
    </w:pPr>
    <w:rPr>
      <w:rFonts w:cstheme="minorBidi"/>
      <w:noProof/>
      <w:szCs w:val="22"/>
    </w:rPr>
  </w:style>
  <w:style w:type="paragraph" w:styleId="3">
    <w:name w:val="heading 3"/>
    <w:aliases w:val="Нумерация"/>
    <w:basedOn w:val="a0"/>
    <w:link w:val="30"/>
    <w:uiPriority w:val="9"/>
    <w:semiHidden/>
    <w:unhideWhenUsed/>
    <w:qFormat/>
    <w:rsid w:val="00C26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26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26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6AAF"/>
    <w:rPr>
      <w:rFonts w:ascii="Times New Roman" w:eastAsiaTheme="majorEastAsia" w:hAnsi="Times New Roman" w:cs="Arial"/>
      <w:sz w:val="24"/>
      <w:szCs w:val="20"/>
    </w:rPr>
  </w:style>
  <w:style w:type="paragraph" w:styleId="a5">
    <w:name w:val="No Spacing"/>
    <w:uiPriority w:val="1"/>
    <w:qFormat/>
    <w:rsid w:val="0045486C"/>
    <w:pPr>
      <w:spacing w:after="0" w:line="240" w:lineRule="auto"/>
      <w:ind w:firstLine="708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20">
    <w:name w:val="Заголовок 2 Знак"/>
    <w:aliases w:val="Кому Знак"/>
    <w:basedOn w:val="a2"/>
    <w:link w:val="2"/>
    <w:rsid w:val="00C26AAF"/>
    <w:rPr>
      <w:rFonts w:ascii="Times New Roman" w:hAnsi="Times New Roman"/>
      <w:noProof/>
      <w:sz w:val="24"/>
    </w:rPr>
  </w:style>
  <w:style w:type="character" w:customStyle="1" w:styleId="30">
    <w:name w:val="Заголовок 3 Знак"/>
    <w:aliases w:val="Нумерация Знак"/>
    <w:basedOn w:val="a2"/>
    <w:link w:val="3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45486C"/>
    <w:pPr>
      <w:numPr>
        <w:numId w:val="1"/>
      </w:numPr>
      <w:contextualSpacing/>
    </w:pPr>
  </w:style>
  <w:style w:type="paragraph" w:customStyle="1" w:styleId="a1">
    <w:name w:val="Куда"/>
    <w:basedOn w:val="2"/>
    <w:link w:val="a6"/>
    <w:qFormat/>
    <w:rsid w:val="00C26AAF"/>
    <w:pPr>
      <w:pBdr>
        <w:bottom w:val="none" w:sz="0" w:space="0" w:color="auto"/>
      </w:pBdr>
      <w:spacing w:after="240"/>
      <w:outlineLvl w:val="9"/>
    </w:pPr>
  </w:style>
  <w:style w:type="character" w:customStyle="1" w:styleId="a6">
    <w:name w:val="Куда Знак"/>
    <w:basedOn w:val="20"/>
    <w:link w:val="a1"/>
    <w:rsid w:val="00C26AAF"/>
    <w:rPr>
      <w:rFonts w:ascii="Times New Roman" w:hAnsi="Times New Roman"/>
      <w:noProof/>
      <w:sz w:val="24"/>
    </w:rPr>
  </w:style>
  <w:style w:type="paragraph" w:customStyle="1" w:styleId="11">
    <w:name w:val="Название1"/>
    <w:basedOn w:val="a0"/>
    <w:link w:val="a7"/>
    <w:qFormat/>
    <w:rsid w:val="00C26AAF"/>
    <w:pPr>
      <w:ind w:firstLine="0"/>
      <w:jc w:val="center"/>
    </w:pPr>
    <w:rPr>
      <w:rFonts w:cstheme="minorBidi"/>
      <w:b/>
      <w:caps/>
      <w:szCs w:val="22"/>
    </w:rPr>
  </w:style>
  <w:style w:type="character" w:customStyle="1" w:styleId="a7">
    <w:name w:val="Название Знак"/>
    <w:basedOn w:val="a2"/>
    <w:link w:val="11"/>
    <w:rsid w:val="00C26AAF"/>
    <w:rPr>
      <w:rFonts w:ascii="Times New Roman" w:hAnsi="Times New Roman"/>
      <w:b/>
      <w:caps/>
      <w:sz w:val="24"/>
    </w:rPr>
  </w:style>
  <w:style w:type="paragraph" w:customStyle="1" w:styleId="a8">
    <w:name w:val="!Подпись"/>
    <w:basedOn w:val="a0"/>
    <w:link w:val="a9"/>
    <w:qFormat/>
    <w:rsid w:val="00C26AAF"/>
    <w:pPr>
      <w:tabs>
        <w:tab w:val="right" w:pos="9355"/>
      </w:tabs>
      <w:spacing w:before="240" w:line="360" w:lineRule="auto"/>
      <w:ind w:firstLine="0"/>
    </w:pPr>
  </w:style>
  <w:style w:type="character" w:customStyle="1" w:styleId="a9">
    <w:name w:val="!Подпись Знак"/>
    <w:basedOn w:val="a2"/>
    <w:link w:val="a8"/>
    <w:rsid w:val="00C26AAF"/>
    <w:rPr>
      <w:rFonts w:ascii="Times New Roman" w:hAnsi="Times New Roman" w:cs="Courier New"/>
      <w:sz w:val="24"/>
      <w:szCs w:val="24"/>
    </w:rPr>
  </w:style>
  <w:style w:type="paragraph" w:customStyle="1" w:styleId="aa">
    <w:name w:val="Приложение"/>
    <w:basedOn w:val="ab"/>
    <w:link w:val="ac"/>
    <w:qFormat/>
    <w:rsid w:val="00C26AAF"/>
    <w:pPr>
      <w:ind w:left="1068" w:hanging="360"/>
    </w:pPr>
  </w:style>
  <w:style w:type="character" w:customStyle="1" w:styleId="ac">
    <w:name w:val="Приложение Знак"/>
    <w:basedOn w:val="a2"/>
    <w:link w:val="aa"/>
    <w:rsid w:val="00C26AAF"/>
    <w:rPr>
      <w:rFonts w:ascii="Times New Roman" w:hAnsi="Times New Roman" w:cs="Courier New"/>
      <w:sz w:val="24"/>
      <w:szCs w:val="24"/>
    </w:rPr>
  </w:style>
  <w:style w:type="paragraph" w:styleId="ab">
    <w:name w:val="List Paragraph"/>
    <w:basedOn w:val="a0"/>
    <w:uiPriority w:val="34"/>
    <w:rsid w:val="00C26AA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C26AA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C26AA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C26AA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C26AA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C26AAF"/>
    <w:pPr>
      <w:tabs>
        <w:tab w:val="clear" w:pos="720"/>
      </w:tabs>
      <w:ind w:left="0" w:firstLine="708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paragraph" w:customStyle="1" w:styleId="s1">
    <w:name w:val="s_1"/>
    <w:basedOn w:val="a0"/>
    <w:rsid w:val="00CE5E5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s10">
    <w:name w:val="s_10"/>
    <w:basedOn w:val="a2"/>
    <w:rsid w:val="00CE5E5C"/>
  </w:style>
  <w:style w:type="character" w:styleId="ae">
    <w:name w:val="Hyperlink"/>
    <w:basedOn w:val="a2"/>
    <w:uiPriority w:val="99"/>
    <w:semiHidden/>
    <w:unhideWhenUsed/>
    <w:rsid w:val="00CE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Казанджан Сергей</dc:creator>
  <cp:lastModifiedBy>user</cp:lastModifiedBy>
  <cp:revision>2</cp:revision>
  <dcterms:created xsi:type="dcterms:W3CDTF">2020-03-05T09:28:00Z</dcterms:created>
  <dcterms:modified xsi:type="dcterms:W3CDTF">2020-03-05T09:28:00Z</dcterms:modified>
</cp:coreProperties>
</file>